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6E7076"/>
          <w:sz w:val="16"/>
          <w:szCs w:val="16"/>
        </w:rPr>
        <w:t xml:space="preserve">——  </w:t>
      </w: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aps/>
          <w:color w:val="6E7076"/>
          <w:spacing w:val="20"/>
          <w:sz w:val="16"/>
          <w:szCs w:val="16"/>
        </w:rPr>
        <w:t xml:space="preserve">Contratação pública · Modelo editável</w:t>
      </w:r>
    </w:p>
    <w:p>
      <w:pPr>
        <w:spacing w:after="0" w:line="252" w:lineRule="exact"/>
      </w:pP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60"/>
          <w:szCs w:val="60"/>
        </w:rPr>
        <w:t xml:space="preserve">Caderno de encargos</w:t>
      </w:r>
    </w:p>
    <w:p>
      <w:pPr>
        <w:spacing w:after="280" w:line="600" w:lineRule="exact"/>
      </w:pPr>
      <w:r>
        <w:rPr>
          <w:rFonts w:ascii="Barlow Condensed Medium" w:cs="Barlow Condensed Medium" w:eastAsia="Barlow Condensed Medium" w:hAnsi="Barlow Condensed Medium"/>
          <w:b w:val="false"/>
          <w:bCs w:val="false"/>
          <w:i/>
          <w:iCs/>
          <w:color w:val="3A5AA3"/>
          <w:sz w:val="60"/>
          <w:szCs w:val="60"/>
        </w:rPr>
        <w:t xml:space="preserve">realidade virtual para uso clínico</w:t>
      </w:r>
    </w:p>
    <w:p>
      <w:pPr>
        <w:spacing w:after="200" w:line="32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4F5157"/>
          <w:sz w:val="22"/>
          <w:szCs w:val="22"/>
        </w:rPr>
        <w:t xml:space="preserve">Modelo de caderno de encargos para a aquisição de um serviço de realidade virtual para uso clínico, ao abrigo do Código dos Contratos Públicos (CCP). Pensado para hospitais, unidades locais de saúde, câmaras municipais e IPSS sujeitas ao CCP.</w:t>
      </w:r>
    </w:p>
    <w:p>
      <w:pPr>
        <w:pBdr>
          <w:left w:val="single" w:color="5B8DFF" w:sz="18" w:space="10"/>
        </w:pBdr>
        <w:spacing w:after="200" w:before="120" w:line="300"/>
        <w:ind w:left="24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19"/>
          <w:szCs w:val="19"/>
        </w:rPr>
        <w:t xml:space="preserve">Como usar este modelo.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19"/>
          <w:szCs w:val="19"/>
        </w:rPr>
        <w:t xml:space="preserve"> Os campos realçados a amarelo, entre parênteses retos, são da entidade adjudicante. As especificações técnicas (Parte II) são funcionais e não indicam marcas, como exige o art. 49.º do CCP; ajuste-as às necessidades do serviço. O programa do procedimento ou o convite (critério de adjudicação, prazos de apresentação de propostas) é um documento à parte. Versão de referência em rver.pt/aquisicao/.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00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Antes de começar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707"/>
        <w:gridCol w:w="5931"/>
      </w:tblGrid>
      <w:tr>
        <w:trPr>
          <w:tblHeader/>
        </w:trPr>
        <w:tc>
          <w:tcPr>
            <w:tcW w:type="dxa" w:w="3707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Valor do contrato (serviços)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Procedimento habitual</w:t>
            </w:r>
          </w:p>
        </w:tc>
      </w:tr>
      <w:tr>
        <w:trPr>
          <w:cantSplit/>
        </w:trPr>
        <w:tc>
          <w:tcPr>
            <w:tcW w:type="dxa" w:w="370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Abaixo de 75 000 €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Ajuste direto (art. 20.º do CCP, na redação do DL 177/2026, em vigor desde 1/10/2026)</w:t>
            </w:r>
          </w:p>
        </w:tc>
      </w:tr>
      <w:tr>
        <w:trPr>
          <w:cantSplit/>
        </w:trPr>
        <w:tc>
          <w:tcPr>
            <w:tcW w:type="dxa" w:w="370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Abaixo de 130 000 €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Consulta prévia, com convite a pelo menos três entidades</w:t>
            </w:r>
          </w:p>
        </w:tc>
      </w:tr>
      <w:tr>
        <w:trPr>
          <w:cantSplit/>
        </w:trPr>
        <w:tc>
          <w:tcPr>
            <w:tcW w:type="dxa" w:w="3707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Acima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Concurso público ou outro procedimento previsto no CCP</w:t>
            </w:r>
          </w:p>
        </w:tc>
      </w:tr>
    </w:tbl>
    <w:p>
      <w:pPr>
        <w:spacing w:after="80"/>
      </w:pP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6E7076"/>
          <w:sz w:val="18"/>
          <w:szCs w:val="18"/>
        </w:rPr>
        <w:t xml:space="preserve">O valor que conta é o do contrato todo, incluindo as renovações. Confirme sempre os limiares em vigor e as regras aplicáveis à sua entidade com o serviço jurídico.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I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Cláusulas jurídicas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1.ª · Objeto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 presente caderno de encargos tem por objeto a aquisição de um serviço de realidade virtual para uso clínico, a utilizar como complemento não farmacológico sob supervisão da equipa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[nome da entidade]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, em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[serviço(s) ou resposta(s) social(is)]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, incluindo a disponibilização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[n.º]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equipamentos, a biblioteca de conteúdos, o software de controlo pela equipa, a formação, a manutenção e o suporte técnico, nos termos da Parte II.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2.ª · Prazo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 contrato tem a duração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[12]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meses a contar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[data / data da entrega dos equipamentos]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, renovável por iguais períodos até ao máximo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[n.º]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renovações, salvo denúncia por qualquer das partes com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[60]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dias de antecedência.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3.ª · Preço base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 preço base do procedimento é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[valor]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€, acrescido de IVA à taxa legal, para a duração total do contrato, incluindo renovações (art. 47.º do CCP). O preço inclui todos os encargos com equipamentos, conteúdos, software, formação, manutenção, substituição e suporte.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4.ª · Local de prestação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[Morada(s) da entidade e serviço(s) onde os equipamentos são utilizados.]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5.ª · Obrigações do prestador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Disponibilizar os equipamentos configurados e prontos a usar, no prazo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[n.º]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dias úteis após a celebração do contrato.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Manter os equipamentos em funcionamento e substituir os avariados no prazo da Parte II.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Fornecer e atualizar a biblioteca de conteúdos e o software durante a vigência do contrato.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Prestar a formação inicial à equipa e o suporte técnico, em língua portuguesa.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Entregar a documentação regulamentar indicada na Parte II.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Cumprir o RGPD e as obrigações da cláusula 8.ª.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6.ª · Propriedade dos equipamentos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[Opção A]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Os equipamentos são propriedade do prestador e são devolvidos no fim do contrato, cabendo ao prestador a reposição de fábrica e o apagamento de todos os dados.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[Opção B]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Os equipamentos passam a ser propriedade da entidade adjudicante. Escolha uma opção e elimine a outra.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7.ª · Obrigações da entidade adjudicante</w:t>
      </w:r>
    </w:p>
    <w:p>
      <w:pPr>
        <w:pStyle w:val="ListParagraph"/>
        <w:numPr>
          <w:ilvl w:val="0"/>
          <w:numId w:val="3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Indicar um interlocutor para o contrato.</w:t>
      </w:r>
    </w:p>
    <w:p>
      <w:pPr>
        <w:pStyle w:val="ListParagraph"/>
        <w:numPr>
          <w:ilvl w:val="0"/>
          <w:numId w:val="3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Designar os profissionais que conduzem as sessões e assegurar a supervisão das sessões.</w:t>
      </w:r>
    </w:p>
    <w:p>
      <w:pPr>
        <w:pStyle w:val="ListParagraph"/>
        <w:numPr>
          <w:ilvl w:val="0"/>
          <w:numId w:val="3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Utilizar os equipamentos de acordo com o manual de utilização, incluindo a finalidade prevista e as contraindicações.</w:t>
      </w:r>
    </w:p>
    <w:p>
      <w:pPr>
        <w:pStyle w:val="ListParagraph"/>
        <w:numPr>
          <w:ilvl w:val="0"/>
          <w:numId w:val="3"/>
        </w:numPr>
        <w:spacing w:after="100" w:line="29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Garantir uma rede Wi-Fi interna para o software de controlo, quando aplicável.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8.ª · Proteção de dados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A entidade adjudicante é a responsável pelo tratamento dos dados dos seus utentes. Na medida em que o prestador trate dados pessoais por conta da entidade adjudicante, as partes celebram o acordo previsto no art. 28.º do RGPD. Os dados de identificação e de saúde dos utentes não podem ser transferidos para fora da União Europeia.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9.ª · Sigilo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 prestador guarda sigilo sobre toda a informação a que tenha acesso no âmbito do contrato, durante a vigência deste e após o seu termo.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10.ª · Penalidades contratuais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Pelo incumprimento dos prazos de substituição de equipamentos previstos na Parte II, a entidade adjudicante pode aplicar uma penalidade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[valor ou ‰ do preço contratual]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por cada dia de atraso, com os limites do art. 329.º do CCP.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11.ª · Faturação e pagamento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O preço é faturado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[anualmente / trimestralmente / mensalmente]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,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[antecipadamente / no fim de cada período]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, e pago no prazo de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[30]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 dias após a receção da fatura.</w:t>
      </w: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Cláusula 12.ª · Resolução, legislação e foro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Aplica-se o regime de resolução do CCP. Ao contrato aplica-se a lei portuguesa. Para os litígios, é competente o 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  <w:shd w:fill="FFF4C2" w:color="auto" w:val="clear"/>
        </w:rPr>
        <w:t xml:space="preserve">[Tribunal Administrativo e Fiscal de …]</w:t>
      </w: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111317"/>
          <w:sz w:val="20"/>
          <w:szCs w:val="20"/>
        </w:rPr>
        <w:t xml:space="preserve">.</w:t>
      </w:r>
    </w:p>
    <w:p>
      <w:pPr>
        <w:keepNext/>
        <w:pBdr>
          <w:bottom w:val="single" w:color="111317" w:sz="12" w:space="6"/>
        </w:pBdr>
        <w:spacing w:after="160" w:before="420"/>
      </w:pPr>
      <w:r>
        <w:rPr>
          <w:rFonts w:ascii="JetBrains Mono Medium" w:cs="JetBrains Mono Medium" w:eastAsia="JetBrains Mono Medium" w:hAnsi="JetBrains Mono Medium"/>
          <w:b w:val="false"/>
          <w:bCs w:val="false"/>
          <w:i w:val="false"/>
          <w:iCs w:val="false"/>
          <w:color w:val="3A5AA3"/>
          <w:sz w:val="18"/>
          <w:szCs w:val="18"/>
        </w:rPr>
        <w:t xml:space="preserve">II   </w:t>
      </w:r>
      <w:r>
        <w:rPr>
          <w:rFonts w:ascii="Barlow Condensed SemiBold" w:cs="Barlow Condensed SemiBold" w:eastAsia="Barlow Condensed SemiBold" w:hAnsi="Barlow Condensed SemiBold"/>
          <w:b w:val="false"/>
          <w:bCs w:val="false"/>
          <w:i w:val="false"/>
          <w:iCs w:val="false"/>
          <w:caps/>
          <w:color w:val="111317"/>
          <w:sz w:val="32"/>
          <w:szCs w:val="32"/>
        </w:rPr>
        <w:t xml:space="preserve">Especificações técnicas</w:t>
      </w: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6E7076"/>
          <w:sz w:val="18"/>
          <w:szCs w:val="18"/>
        </w:rPr>
        <w:t xml:space="preserve">Requisitos mínimos. As propostas que não os cumpram são excluídas. Onde se indica um valor, admite-se o equivalente ou superior.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1"/>
        <w:gridCol w:w="5931"/>
        <w:gridCol w:w="2966"/>
      </w:tblGrid>
      <w:tr>
        <w:trPr>
          <w:tblHeader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N.º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Requisito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Como se comprova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Enquadramento regulamentar. O sistema, ou o seu produto base, está qualificado como dispositivo médico com marcação CE ao abrigo do Regulamento (UE) 2017/745, com registo junto da autoridade nacional competente.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Declaração de Conformidade UE e comprovativo de registo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ET2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Documentação. Manual de utilização em português, com a finalidade prevista e as contraindicações.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Manual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ET3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Equipamentos autónomos, sem cabo obrigatório durante a sessão, com seguimento de rotação e de posição da cabeça (6DoF).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ET4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Utilizáveis por cima de óculos graduados, sem lentes adicionais.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ET5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Peso na cabeça até 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[600]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g; autonomia de pelo menos 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[2]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horas de reprodução de vídeo.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ET6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Biblioteca de conteúdos guardada no próprio equipamento, com funcionamento sem ligação à internet durante a sessão.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 e demonstração documental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ET7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Biblioteca de pelo menos 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[n.º]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conteúdos imersivos de vídeo 360°, preparados para uso com utentes, cada um com descrição, duração e advertências; atualizações durante o contrato.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Lista de conteúdos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ET8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Modo de utilização bloqueado (quiosque): o utente não sai da aplicação nem acede a outras funções.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ET9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Controlo pela equipa a partir de tablet ou browser: escolher o conteúdo, pausar, parar de imediato e gerir vários equipamentos ao mesmo tempo.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ET10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Segurança clínica: possibilidade de excluir conteúdos por contraindicação do utente, incluindo fotossensibilidade.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ET11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Proteção de dados: os dados de identificação e de saúde dos utentes não saem do equipamento ou ficam na União Europeia; apagamento total no fim do contrato.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Declaração do prestador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ET12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Higiene: capa facial lavável ou substituível e protocolo de higienização entre utentes.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Protocolo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ET13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Formação inicial da equipa incluída (presencial ou à distância), em português.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Plano de formação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ET14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Suporte técnico em português, com resposta em 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[2]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dias úteis, e substituição de equipamento avariado em 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[5]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dias úteis.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Declaração do prestador</w:t>
            </w:r>
          </w:p>
        </w:tc>
      </w:tr>
      <w:tr>
        <w:trPr>
          <w:cantSplit/>
        </w:trPr>
        <w:tc>
          <w:tcPr>
            <w:tcW w:type="dxa" w:w="74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ET15</w:t>
            </w:r>
          </w:p>
        </w:tc>
        <w:tc>
          <w:tcPr>
            <w:tcW w:type="dxa" w:w="5931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[Opcional]</w:t>
            </w: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 Videochamada entre o equipamento e a família, sem gravação.</w:t>
            </w:r>
          </w:p>
        </w:tc>
        <w:tc>
          <w:tcPr>
            <w:tcW w:type="dxa" w:w="2966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Ficha técnica</w:t>
            </w:r>
          </w:p>
        </w:tc>
      </w:tr>
    </w:tbl>
    <w:p>
      <w:pPr>
        <w:spacing w:after="80"/>
      </w:pPr>
    </w:p>
    <w:p>
      <w:pPr>
        <w:keepNext/>
        <w:spacing w:after="80" w:before="220"/>
      </w:pPr>
      <w:r>
        <w:rPr>
          <w:rFonts w:ascii="Inter Tight SemiBold" w:cs="Inter Tight SemiBold" w:eastAsia="Inter Tight SemiBold" w:hAnsi="Inter Tight SemiBold"/>
          <w:b w:val="false"/>
          <w:bCs w:val="false"/>
          <w:i w:val="false"/>
          <w:iCs w:val="false"/>
          <w:color w:val="111317"/>
          <w:sz w:val="21"/>
          <w:szCs w:val="21"/>
        </w:rPr>
        <w:t xml:space="preserve">Quantidades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13"/>
        <w:gridCol w:w="6425"/>
      </w:tblGrid>
      <w:tr>
        <w:trPr>
          <w:tblHeader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Campo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111317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JetBrains Mono Medium" w:cs="JetBrains Mono Medium" w:eastAsia="JetBrains Mono Medium" w:hAnsi="JetBrains Mono Medium"/>
                <w:b w:val="false"/>
                <w:bCs w:val="false"/>
                <w:i w:val="false"/>
                <w:iCs w:val="false"/>
                <w:caps/>
                <w:color w:val="6E7076"/>
                <w:spacing w:val="10"/>
                <w:sz w:val="15"/>
                <w:szCs w:val="15"/>
              </w:rPr>
              <w:t xml:space="preserve">Preenchimento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Serviços / respostas sociais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[n.º e designação]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Equipamentos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[n.º total, e por serviço]</w:t>
            </w:r>
          </w:p>
        </w:tc>
      </w:tr>
      <w:tr>
        <w:trPr>
          <w:cantSplit/>
        </w:trPr>
        <w:tc>
          <w:tcPr>
            <w:tcW w:type="dxa" w:w="3213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 SemiBold" w:cs="Inter Tight SemiBold" w:eastAsia="Inter Tight SemiBold" w:hAnsi="Inter Tight SemiBold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</w:rPr>
              <w:t xml:space="preserve">Tablets para a equipa</w:t>
            </w:r>
          </w:p>
        </w:tc>
        <w:tc>
          <w:tcPr>
            <w:tcW w:type="dxa" w:w="6425"/>
            <w:tcBorders>
              <w:top w:val="none" w:color="FFFFFF" w:sz="0"/>
              <w:left w:val="none" w:color="FFFFFF" w:sz="0"/>
              <w:bottom w:val="single" w:color="E1E2E3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top"/>
          </w:tcPr>
          <w:p>
            <w:pPr>
              <w:spacing w:after="40" w:line="270"/>
            </w:pPr>
            <w:r>
              <w:rPr>
                <w:rFonts w:ascii="Inter Tight" w:cs="Inter Tight" w:eastAsia="Inter Tight" w:hAnsi="Inter Tight"/>
                <w:b w:val="false"/>
                <w:bCs w:val="false"/>
                <w:i w:val="false"/>
                <w:iCs w:val="false"/>
                <w:color w:val="111317"/>
                <w:sz w:val="18"/>
                <w:szCs w:val="18"/>
                <w:shd w:fill="FFF4C2" w:color="auto" w:val="clear"/>
              </w:rPr>
              <w:t xml:space="preserve">[incluídos / fornecidos pela entidade]</w:t>
            </w:r>
          </w:p>
        </w:tc>
      </w:tr>
    </w:tbl>
    <w:p>
      <w:pPr>
        <w:spacing w:after="80"/>
      </w:pPr>
    </w:p>
    <w:p>
      <w:pPr>
        <w:spacing w:after="240"/>
      </w:pPr>
    </w:p>
    <w:p>
      <w:pPr>
        <w:spacing w:after="140" w:line="300"/>
      </w:pPr>
      <w:r>
        <w:rPr>
          <w:rFonts w:ascii="Inter Tight" w:cs="Inter Tight" w:eastAsia="Inter Tight" w:hAnsi="Inter Tight"/>
          <w:b w:val="false"/>
          <w:bCs w:val="false"/>
          <w:i w:val="false"/>
          <w:iCs w:val="false"/>
          <w:color w:val="6E7076"/>
          <w:sz w:val="16"/>
          <w:szCs w:val="16"/>
        </w:rPr>
        <w:t xml:space="preserve">Modelo preparado pela Amplified Creations, Lda. (RVer) a 7 de outubro de 2026, para apoio às entidades adjudicantes. Não substitui o parecer do serviço jurídico da entidade. As especificações são funcionais e podem ser cumpridas por qualquer fornecedor que reúna os requisitos.</w:t>
      </w:r>
    </w:p>
    <w:sectPr>
      <w:headerReference w:type="default" r:id="rId6"/>
      <w:footerReference w:type="default" r:id="rId7"/>
      <w:pgSz w:w="11906" w:h="16838" w:orient="portrait"/>
      <w:pgMar w:top="1300" w:right="1134" w:bottom="1134" w:left="1134" w:header="560" w:footer="5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rlow Condensed SemiBold">
    <w:charset w:val="00"/>
    <w:family w:val="auto"/>
    <w:pitch w:val="variable"/>
    <w:sig w:usb0="E0002AFF" w:usb1="C000247B" w:usb2="00000009" w:usb3="00000000" w:csb0="000001FF" w:csb1="00000000"/>
    <w:embedRegular r:id="rId1" w:fontKey="{6CC7B241-1317-B14C-75FA-9E907398E59D}"/>
  </w:font>
  <w:font w:name="Barlow Condensed Medium">
    <w:charset w:val="00"/>
    <w:family w:val="auto"/>
    <w:pitch w:val="variable"/>
    <w:sig w:usb0="E0002AFF" w:usb1="C000247B" w:usb2="00000009" w:usb3="00000000" w:csb0="000001FF" w:csb1="00000000"/>
    <w:embedRegular r:id="rId2" w:fontKey="{3BE38328-6C9D-7572-66F1-C5C82C52C582}"/>
  </w:font>
  <w:font w:name="Inter Tight">
    <w:charset w:val="00"/>
    <w:family w:val="auto"/>
    <w:pitch w:val="variable"/>
    <w:sig w:usb0="E0002AFF" w:usb1="C000247B" w:usb2="00000009" w:usb3="00000000" w:csb0="000001FF" w:csb1="00000000"/>
    <w:embedRegular r:id="rId3" w:fontKey="{1F8209FC-0AE1-8565-F69D-A8C86E1B38A1}"/>
  </w:font>
  <w:font w:name="Inter Tight SemiBold">
    <w:charset w:val="00"/>
    <w:family w:val="auto"/>
    <w:pitch w:val="variable"/>
    <w:sig w:usb0="E0002AFF" w:usb1="C000247B" w:usb2="00000009" w:usb3="00000000" w:csb0="000001FF" w:csb1="00000000"/>
    <w:embedRegular r:id="rId4" w:fontKey="{C6395AD5-F341-74B2-1C3B-53EFCDFF1965}"/>
  </w:font>
  <w:font w:name="JetBrains Mono Medium">
    <w:charset w:val="00"/>
    <w:family w:val="auto"/>
    <w:pitch w:val="variable"/>
    <w:sig w:usb0="E0002AFF" w:usb1="C000247B" w:usb2="00000009" w:usb3="00000000" w:csb0="000001FF" w:csb1="00000000"/>
    <w:embedRegular r:id="rId5" w:fontKey="{F5AFA1E6-3134-EAE2-944A-7A7E5FE8DDC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JetBrains Mono Medium" w:cs="JetBrains Mono Medium" w:eastAsia="JetBrains Mono Medium" w:hAnsi="JetBrains Mono Medium"/>
        <w:b w:val="false"/>
        <w:bCs w:val="false"/>
        <w:i w:val="false"/>
        <w:iCs w:val="false"/>
        <w:color w:val="6E7076"/>
        <w:sz w:val="14"/>
        <w:szCs w:val="14"/>
      </w:rPr>
      <w:t xml:space="preserve">Amplified Creations, Lda. · RVer · rver.pt · hi@rver.pt</w:t>
    </w:r>
    <w:r>
      <w:rPr>
        <w:rFonts w:ascii="JetBrains Mono Medium" w:cs="JetBrains Mono Medium" w:eastAsia="JetBrains Mono Medium" w:hAnsi="JetBrains Mono Medium"/>
        <w:color w:val="6E707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2E3" w:sz="4" w:space="6"/>
      </w:pBdr>
      <w:tabs>
        <w:tab w:val="right" w:pos="9638"/>
      </w:tabs>
    </w:pPr>
    <w:r>
      <w:drawing>
        <wp:inline distT="0" distB="0" distL="0" distR="0">
          <wp:extent cx="457200" cy="266700"/>
          <wp:effectExtent t="0" r="0" b="0" l="0"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JetBrains Mono Medium" w:cs="JetBrains Mono Medium" w:eastAsia="JetBrains Mono Medium" w:hAnsi="JetBrains Mono Medium"/>
        <w:b w:val="false"/>
        <w:bCs w:val="false"/>
        <w:i w:val="false"/>
        <w:iCs w:val="false"/>
        <w:caps/>
        <w:color w:val="6E7076"/>
        <w:spacing w:val="10"/>
        <w:sz w:val="14"/>
        <w:szCs w:val="14"/>
      </w:rPr>
      <w:t xml:space="preserve">	Modelo de caderno de encargos · CCP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5B8DFF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300"/>
      </w:pPr>
      <w:rPr>
        <w:color w:val="6E7076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  <w:rPr>
        <w:rFonts w:ascii="JetBrains Mono Medium" w:cs="JetBrains Mono Medium" w:eastAsia="JetBrains Mono Medium" w:hAnsi="JetBrains Mono Medium"/>
        <w:color w:val="3A5AA3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 Tight" w:cs="Inter Tight" w:eastAsia="Inter Tight" w:hAnsi="Inter Tight"/>
        <w:color w:val="111317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83d9ae1effcae405d7c02e4ec934480b0ddc7a0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caderno de encargos — serviço de realidade virtual para uso clínico</dc:title>
  <dc:creator>Amplified Creations, Lda. (RVer)</dc:creator>
  <dc:description>Modelo de caderno de encargos — serviço de realidade virtual para uso clínico</dc:description>
  <cp:lastModifiedBy>Un-named</cp:lastModifiedBy>
  <cp:revision>1</cp:revision>
  <dcterms:created xsi:type="dcterms:W3CDTF">2026-10-07T22:17:02.706Z</dcterms:created>
  <dcterms:modified xsi:type="dcterms:W3CDTF">2026-10-07T22:17:02.706Z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